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rPr>
          <w:rFonts w:hint="eastAsia"/>
          <w:lang w:val="en-US" w:eastAsia="zh-CN"/>
        </w:rPr>
      </w:pPr>
      <w:bookmarkStart w:id="0" w:name="_Toc17751"/>
      <w:r>
        <w:rPr>
          <w:rFonts w:hint="eastAsia"/>
          <w:lang w:eastAsia="zh-CN"/>
        </w:rPr>
        <w:t>附件</w:t>
      </w:r>
      <w:r>
        <w:rPr>
          <w:rFonts w:hint="eastAsia"/>
          <w:lang w:val="en-US" w:eastAsia="zh-CN"/>
        </w:rPr>
        <w:t>5： 验收意见及签到表</w:t>
      </w:r>
      <w:bookmarkEnd w:id="0"/>
    </w:p>
    <w:p>
      <w:pPr>
        <w:pStyle w:val="2"/>
        <w:jc w:val="center"/>
        <w:rPr>
          <w:rFonts w:hint="default"/>
          <w:lang w:val="en-US" w:eastAsia="zh-CN"/>
        </w:rPr>
      </w:pPr>
      <w:r>
        <w:rPr>
          <w:rFonts w:hint="eastAsia"/>
          <w:lang w:val="en-US" w:eastAsia="zh-CN"/>
        </w:rPr>
        <w:drawing>
          <wp:inline distT="0" distB="0" distL="114300" distR="114300">
            <wp:extent cx="5955665" cy="8437880"/>
            <wp:effectExtent l="0" t="0" r="6985" b="1270"/>
            <wp:docPr id="27" name="图片 13" descr="CCI20191115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CCI20191115_0006"/>
                    <pic:cNvPicPr>
                      <a:picLocks noChangeAspect="1"/>
                    </pic:cNvPicPr>
                  </pic:nvPicPr>
                  <pic:blipFill>
                    <a:blip r:embed="rId8"/>
                    <a:stretch>
                      <a:fillRect/>
                    </a:stretch>
                  </pic:blipFill>
                  <pic:spPr>
                    <a:xfrm>
                      <a:off x="0" y="0"/>
                      <a:ext cx="5955665" cy="8437880"/>
                    </a:xfrm>
                    <a:prstGeom prst="rect">
                      <a:avLst/>
                    </a:prstGeom>
                    <a:noFill/>
                    <a:ln w="9525">
                      <a:noFill/>
                    </a:ln>
                  </pic:spPr>
                </pic:pic>
              </a:graphicData>
            </a:graphic>
          </wp:inline>
        </w:drawing>
      </w:r>
      <w:bookmarkStart w:id="2" w:name="_GoBack"/>
      <w:r>
        <w:rPr>
          <w:rFonts w:hint="default"/>
          <w:lang w:val="en-US" w:eastAsia="zh-CN"/>
        </w:rPr>
        <w:drawing>
          <wp:inline distT="0" distB="0" distL="114300" distR="114300">
            <wp:extent cx="6645275" cy="9441815"/>
            <wp:effectExtent l="0" t="0" r="3175" b="6985"/>
            <wp:docPr id="19" name="图片 14" descr="CCI20191115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CCI20191115_0007"/>
                    <pic:cNvPicPr>
                      <a:picLocks noChangeAspect="1"/>
                    </pic:cNvPicPr>
                  </pic:nvPicPr>
                  <pic:blipFill>
                    <a:blip r:embed="rId9"/>
                    <a:stretch>
                      <a:fillRect/>
                    </a:stretch>
                  </pic:blipFill>
                  <pic:spPr>
                    <a:xfrm>
                      <a:off x="0" y="0"/>
                      <a:ext cx="6645275" cy="9441815"/>
                    </a:xfrm>
                    <a:prstGeom prst="rect">
                      <a:avLst/>
                    </a:prstGeom>
                    <a:noFill/>
                    <a:ln w="9525">
                      <a:noFill/>
                    </a:ln>
                  </pic:spPr>
                </pic:pic>
              </a:graphicData>
            </a:graphic>
          </wp:inline>
        </w:drawing>
      </w:r>
      <w:bookmarkEnd w:id="2"/>
      <w:r>
        <w:rPr>
          <w:rFonts w:hint="default"/>
          <w:lang w:val="en-US" w:eastAsia="zh-CN"/>
        </w:rPr>
        <w:drawing>
          <wp:inline distT="0" distB="0" distL="114300" distR="114300">
            <wp:extent cx="6645275" cy="9436735"/>
            <wp:effectExtent l="0" t="0" r="3175" b="12065"/>
            <wp:docPr id="25" name="图片 15" descr="CCI20191115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CCI20191115_0008"/>
                    <pic:cNvPicPr>
                      <a:picLocks noChangeAspect="1"/>
                    </pic:cNvPicPr>
                  </pic:nvPicPr>
                  <pic:blipFill>
                    <a:blip r:embed="rId10"/>
                    <a:stretch>
                      <a:fillRect/>
                    </a:stretch>
                  </pic:blipFill>
                  <pic:spPr>
                    <a:xfrm>
                      <a:off x="0" y="0"/>
                      <a:ext cx="6645275" cy="9436735"/>
                    </a:xfrm>
                    <a:prstGeom prst="rect">
                      <a:avLst/>
                    </a:prstGeom>
                    <a:noFill/>
                    <a:ln w="9525">
                      <a:noFill/>
                    </a:ln>
                  </pic:spPr>
                </pic:pic>
              </a:graphicData>
            </a:graphic>
          </wp:inline>
        </w:drawing>
      </w:r>
      <w:r>
        <w:rPr>
          <w:rFonts w:hint="default"/>
          <w:lang w:val="en-US" w:eastAsia="zh-CN"/>
        </w:rPr>
        <w:drawing>
          <wp:inline distT="0" distB="0" distL="114300" distR="114300">
            <wp:extent cx="6645275" cy="9447530"/>
            <wp:effectExtent l="0" t="0" r="3175" b="1270"/>
            <wp:docPr id="28" name="图片 16" descr="CCI20191115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descr="CCI20191115_0009"/>
                    <pic:cNvPicPr>
                      <a:picLocks noChangeAspect="1"/>
                    </pic:cNvPicPr>
                  </pic:nvPicPr>
                  <pic:blipFill>
                    <a:blip r:embed="rId11"/>
                    <a:stretch>
                      <a:fillRect/>
                    </a:stretch>
                  </pic:blipFill>
                  <pic:spPr>
                    <a:xfrm>
                      <a:off x="0" y="0"/>
                      <a:ext cx="6645275" cy="9447530"/>
                    </a:xfrm>
                    <a:prstGeom prst="rect">
                      <a:avLst/>
                    </a:prstGeom>
                    <a:noFill/>
                    <a:ln w="9525">
                      <a:noFill/>
                    </a:ln>
                  </pic:spPr>
                </pic:pic>
              </a:graphicData>
            </a:graphic>
          </wp:inline>
        </w:drawing>
      </w:r>
      <w:r>
        <w:rPr>
          <w:rFonts w:hint="default"/>
          <w:lang w:val="en-US" w:eastAsia="zh-CN"/>
        </w:rPr>
        <w:drawing>
          <wp:inline distT="0" distB="0" distL="114300" distR="114300">
            <wp:extent cx="6645275" cy="9420225"/>
            <wp:effectExtent l="0" t="0" r="3175" b="9525"/>
            <wp:docPr id="21" name="图片 17" descr="CCI20191115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descr="CCI20191115_0010"/>
                    <pic:cNvPicPr>
                      <a:picLocks noChangeAspect="1"/>
                    </pic:cNvPicPr>
                  </pic:nvPicPr>
                  <pic:blipFill>
                    <a:blip r:embed="rId12"/>
                    <a:stretch>
                      <a:fillRect/>
                    </a:stretch>
                  </pic:blipFill>
                  <pic:spPr>
                    <a:xfrm>
                      <a:off x="0" y="0"/>
                      <a:ext cx="6645275" cy="9420225"/>
                    </a:xfrm>
                    <a:prstGeom prst="rect">
                      <a:avLst/>
                    </a:prstGeom>
                    <a:noFill/>
                    <a:ln w="9525">
                      <a:noFill/>
                    </a:ln>
                  </pic:spPr>
                </pic:pic>
              </a:graphicData>
            </a:graphic>
          </wp:inline>
        </w:drawing>
      </w:r>
      <w:r>
        <w:rPr>
          <w:rFonts w:hint="default"/>
          <w:lang w:val="en-US" w:eastAsia="zh-CN"/>
        </w:rPr>
        <w:drawing>
          <wp:inline distT="0" distB="0" distL="114300" distR="114300">
            <wp:extent cx="6645275" cy="9441815"/>
            <wp:effectExtent l="0" t="0" r="3175" b="6985"/>
            <wp:docPr id="17" name="图片 18" descr="CCI20191115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CCI20191115_0011"/>
                    <pic:cNvPicPr>
                      <a:picLocks noChangeAspect="1"/>
                    </pic:cNvPicPr>
                  </pic:nvPicPr>
                  <pic:blipFill>
                    <a:blip r:embed="rId13"/>
                    <a:stretch>
                      <a:fillRect/>
                    </a:stretch>
                  </pic:blipFill>
                  <pic:spPr>
                    <a:xfrm>
                      <a:off x="0" y="0"/>
                      <a:ext cx="6645275" cy="9441815"/>
                    </a:xfrm>
                    <a:prstGeom prst="rect">
                      <a:avLst/>
                    </a:prstGeom>
                    <a:noFill/>
                    <a:ln w="9525">
                      <a:noFill/>
                    </a:ln>
                  </pic:spPr>
                </pic:pic>
              </a:graphicData>
            </a:graphic>
          </wp:inline>
        </w:drawing>
      </w:r>
      <w:r>
        <w:rPr>
          <w:rFonts w:hint="default"/>
          <w:lang w:val="en-US" w:eastAsia="zh-CN"/>
        </w:rPr>
        <w:drawing>
          <wp:inline distT="0" distB="0" distL="114300" distR="114300">
            <wp:extent cx="6645275" cy="9441815"/>
            <wp:effectExtent l="0" t="0" r="3175" b="6985"/>
            <wp:docPr id="18" name="图片 19" descr="CCI20191115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CCI20191115_0012"/>
                    <pic:cNvPicPr>
                      <a:picLocks noChangeAspect="1"/>
                    </pic:cNvPicPr>
                  </pic:nvPicPr>
                  <pic:blipFill>
                    <a:blip r:embed="rId14"/>
                    <a:stretch>
                      <a:fillRect/>
                    </a:stretch>
                  </pic:blipFill>
                  <pic:spPr>
                    <a:xfrm>
                      <a:off x="0" y="0"/>
                      <a:ext cx="6645275" cy="9441815"/>
                    </a:xfrm>
                    <a:prstGeom prst="rect">
                      <a:avLst/>
                    </a:prstGeom>
                    <a:noFill/>
                    <a:ln w="9525">
                      <a:noFill/>
                    </a:ln>
                  </pic:spPr>
                </pic:pic>
              </a:graphicData>
            </a:graphic>
          </wp:inline>
        </w:drawing>
      </w:r>
      <w:r>
        <w:rPr>
          <w:rFonts w:hint="default"/>
          <w:lang w:val="en-US" w:eastAsia="zh-CN"/>
        </w:rPr>
        <w:drawing>
          <wp:inline distT="0" distB="0" distL="114300" distR="114300">
            <wp:extent cx="6697980" cy="5408930"/>
            <wp:effectExtent l="0" t="0" r="7620" b="0"/>
            <wp:docPr id="29" name="图片 20" descr="吴贤格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吴贤格证书"/>
                    <pic:cNvPicPr>
                      <a:picLocks noChangeAspect="1"/>
                    </pic:cNvPicPr>
                  </pic:nvPicPr>
                  <pic:blipFill>
                    <a:blip r:embed="rId15"/>
                    <a:srcRect b="-2380"/>
                    <a:stretch>
                      <a:fillRect/>
                    </a:stretch>
                  </pic:blipFill>
                  <pic:spPr>
                    <a:xfrm>
                      <a:off x="0" y="0"/>
                      <a:ext cx="6697980" cy="5408930"/>
                    </a:xfrm>
                    <a:prstGeom prst="rect">
                      <a:avLst/>
                    </a:prstGeom>
                    <a:noFill/>
                    <a:ln w="9525">
                      <a:noFill/>
                    </a:ln>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drawing>
          <wp:inline distT="0" distB="0" distL="114300" distR="114300">
            <wp:extent cx="4323080" cy="2769235"/>
            <wp:effectExtent l="0" t="0" r="1270" b="12065"/>
            <wp:docPr id="20" name="图片 21" descr="吴贤格身份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吴贤格身份证"/>
                    <pic:cNvPicPr>
                      <a:picLocks noChangeAspect="1"/>
                    </pic:cNvPicPr>
                  </pic:nvPicPr>
                  <pic:blipFill>
                    <a:blip r:embed="rId16"/>
                    <a:srcRect/>
                    <a:stretch>
                      <a:fillRect/>
                    </a:stretch>
                  </pic:blipFill>
                  <pic:spPr>
                    <a:xfrm>
                      <a:off x="0" y="0"/>
                      <a:ext cx="4323080" cy="2769235"/>
                    </a:xfrm>
                    <a:prstGeom prst="rect">
                      <a:avLst/>
                    </a:prstGeom>
                    <a:noFill/>
                    <a:ln w="9525">
                      <a:noFill/>
                    </a:ln>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drawing>
          <wp:inline distT="0" distB="0" distL="114300" distR="114300">
            <wp:extent cx="6454140" cy="5626100"/>
            <wp:effectExtent l="0" t="0" r="3810" b="12700"/>
            <wp:docPr id="26" name="图片 22" descr="朱瑞麟高工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朱瑞麟高工证"/>
                    <pic:cNvPicPr>
                      <a:picLocks noChangeAspect="1"/>
                    </pic:cNvPicPr>
                  </pic:nvPicPr>
                  <pic:blipFill>
                    <a:blip r:embed="rId17"/>
                    <a:srcRect/>
                    <a:stretch>
                      <a:fillRect/>
                    </a:stretch>
                  </pic:blipFill>
                  <pic:spPr>
                    <a:xfrm>
                      <a:off x="0" y="0"/>
                      <a:ext cx="6454140" cy="5626100"/>
                    </a:xfrm>
                    <a:prstGeom prst="rect">
                      <a:avLst/>
                    </a:prstGeom>
                    <a:noFill/>
                    <a:ln w="9525">
                      <a:noFill/>
                    </a:ln>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sectPr>
          <w:pgSz w:w="11906" w:h="16838"/>
          <w:pgMar w:top="123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30" w:charSpace="0"/>
        </w:sectPr>
      </w:pPr>
      <w:r>
        <w:drawing>
          <wp:anchor distT="0" distB="0" distL="114300" distR="114300" simplePos="0" relativeHeight="251666432" behindDoc="0" locked="0" layoutInCell="1" allowOverlap="1">
            <wp:simplePos x="0" y="0"/>
            <wp:positionH relativeFrom="column">
              <wp:posOffset>3406140</wp:posOffset>
            </wp:positionH>
            <wp:positionV relativeFrom="paragraph">
              <wp:posOffset>79375</wp:posOffset>
            </wp:positionV>
            <wp:extent cx="3445510" cy="2221865"/>
            <wp:effectExtent l="0" t="0" r="2540" b="6985"/>
            <wp:wrapNone/>
            <wp:docPr id="22" name="图片 4" descr="img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img020"/>
                    <pic:cNvPicPr>
                      <a:picLocks noChangeAspect="1"/>
                    </pic:cNvPicPr>
                  </pic:nvPicPr>
                  <pic:blipFill>
                    <a:blip r:embed="rId18"/>
                    <a:srcRect/>
                    <a:stretch>
                      <a:fillRect/>
                    </a:stretch>
                  </pic:blipFill>
                  <pic:spPr>
                    <a:xfrm>
                      <a:off x="0" y="0"/>
                      <a:ext cx="3445510" cy="2221865"/>
                    </a:xfrm>
                    <a:prstGeom prst="rect">
                      <a:avLst/>
                    </a:prstGeom>
                    <a:noFill/>
                    <a:ln w="9525">
                      <a:noFill/>
                    </a:ln>
                  </pic:spPr>
                </pic:pic>
              </a:graphicData>
            </a:graphic>
          </wp:anchor>
        </w:drawing>
      </w:r>
      <w:r>
        <w:drawing>
          <wp:anchor distT="0" distB="0" distL="114300" distR="114300" simplePos="0" relativeHeight="251665408" behindDoc="0" locked="0" layoutInCell="1" allowOverlap="1">
            <wp:simplePos x="0" y="0"/>
            <wp:positionH relativeFrom="column">
              <wp:posOffset>-147955</wp:posOffset>
            </wp:positionH>
            <wp:positionV relativeFrom="paragraph">
              <wp:posOffset>94615</wp:posOffset>
            </wp:positionV>
            <wp:extent cx="3663950" cy="2165350"/>
            <wp:effectExtent l="0" t="0" r="12700" b="6350"/>
            <wp:wrapNone/>
            <wp:docPr id="23" name="图片 5" descr="img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img021"/>
                    <pic:cNvPicPr>
                      <a:picLocks noChangeAspect="1"/>
                    </pic:cNvPicPr>
                  </pic:nvPicPr>
                  <pic:blipFill>
                    <a:blip r:embed="rId19"/>
                    <a:srcRect/>
                    <a:stretch>
                      <a:fillRect/>
                    </a:stretch>
                  </pic:blipFill>
                  <pic:spPr>
                    <a:xfrm>
                      <a:off x="0" y="0"/>
                      <a:ext cx="3663950" cy="2165350"/>
                    </a:xfrm>
                    <a:prstGeom prst="rect">
                      <a:avLst/>
                    </a:prstGeom>
                    <a:noFill/>
                    <a:ln w="9525">
                      <a:noFill/>
                    </a:ln>
                  </pic:spPr>
                </pic:pic>
              </a:graphicData>
            </a:graphic>
          </wp:anchor>
        </w:drawing>
      </w:r>
    </w:p>
    <w:p>
      <w:r>
        <w:rPr>
          <w:rFonts w:ascii="Times New Roman" w:hAnsi="Times New Roman" w:eastAsia="宋体" w:cs="Times New Roman"/>
          <w:b w:val="0"/>
          <w:kern w:val="2"/>
          <w:sz w:val="21"/>
          <w:szCs w:val="24"/>
          <w:lang w:val="en-US" w:eastAsia="zh-CN" w:bidi="ar-SA"/>
        </w:rPr>
        <w:drawing>
          <wp:inline distT="0" distB="0" distL="114300" distR="114300">
            <wp:extent cx="6057900" cy="8580120"/>
            <wp:effectExtent l="0" t="0" r="0" b="11430"/>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pic:cNvPicPr>
                  </pic:nvPicPr>
                  <pic:blipFill>
                    <a:blip r:embed="rId20"/>
                    <a:stretch>
                      <a:fillRect/>
                    </a:stretch>
                  </pic:blipFill>
                  <pic:spPr>
                    <a:xfrm>
                      <a:off x="0" y="0"/>
                      <a:ext cx="6057900" cy="8580120"/>
                    </a:xfrm>
                    <a:prstGeom prst="rect">
                      <a:avLst/>
                    </a:prstGeom>
                    <a:noFill/>
                    <a:ln w="9525">
                      <a:noFill/>
                    </a:ln>
                  </pic:spPr>
                </pic:pic>
              </a:graphicData>
            </a:graphic>
          </wp:inline>
        </w:drawing>
      </w:r>
    </w:p>
    <w:p/>
    <w:p>
      <w:pPr>
        <w:rPr>
          <w:rFonts w:hint="default"/>
          <w:lang w:val="en-US" w:eastAsia="zh-CN"/>
        </w:rPr>
        <w:sectPr>
          <w:headerReference r:id="rId3" w:type="default"/>
          <w:footerReference r:id="rId4" w:type="default"/>
          <w:pgSz w:w="11906" w:h="16838"/>
          <w:pgMar w:top="1134" w:right="1588" w:bottom="1134"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宋体" w:cs="Times New Roman"/>
          <w:b w:val="0"/>
          <w:kern w:val="2"/>
          <w:sz w:val="21"/>
          <w:szCs w:val="24"/>
          <w:lang w:val="en-US" w:eastAsia="zh-CN" w:bidi="ar-SA"/>
        </w:rPr>
        <w:drawing>
          <wp:inline distT="0" distB="0" distL="114300" distR="114300">
            <wp:extent cx="5539740" cy="7833360"/>
            <wp:effectExtent l="0" t="0" r="3810" b="15240"/>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pic:cNvPicPr>
                      <a:picLocks noChangeAspect="1"/>
                    </pic:cNvPicPr>
                  </pic:nvPicPr>
                  <pic:blipFill>
                    <a:blip r:embed="rId21"/>
                    <a:stretch>
                      <a:fillRect/>
                    </a:stretch>
                  </pic:blipFill>
                  <pic:spPr>
                    <a:xfrm>
                      <a:off x="0" y="0"/>
                      <a:ext cx="5539740" cy="7833360"/>
                    </a:xfrm>
                    <a:prstGeom prst="rect">
                      <a:avLst/>
                    </a:prstGeom>
                    <a:noFill/>
                    <a:ln w="9525">
                      <a:noFill/>
                    </a:ln>
                  </pic:spPr>
                </pic:pic>
              </a:graphicData>
            </a:graphic>
          </wp:inline>
        </w:drawing>
      </w:r>
    </w:p>
    <w:p>
      <w:pPr>
        <w:pStyle w:val="3"/>
        <w:keepNext/>
        <w:keepLines/>
        <w:pageBreakBefore w:val="0"/>
        <w:widowControl/>
        <w:numPr>
          <w:ilvl w:val="0"/>
          <w:numId w:val="0"/>
        </w:numPr>
        <w:tabs>
          <w:tab w:val="clear" w:pos="0"/>
        </w:tabs>
        <w:kinsoku/>
        <w:wordWrap/>
        <w:overflowPunct/>
        <w:topLinePunct w:val="0"/>
        <w:autoSpaceDE/>
        <w:autoSpaceDN/>
        <w:bidi w:val="0"/>
        <w:adjustRightInd w:val="0"/>
        <w:snapToGrid w:val="0"/>
        <w:spacing w:before="0" w:after="0" w:line="360" w:lineRule="auto"/>
        <w:textAlignment w:val="auto"/>
        <w:outlineLvl w:val="0"/>
        <w:rPr>
          <w:rFonts w:hint="eastAsia" w:ascii="Times New Roman" w:hAnsi="Times New Roman" w:eastAsia="宋体" w:cs="Times New Roman"/>
          <w:sz w:val="28"/>
          <w:szCs w:val="28"/>
          <w:lang w:val="en-US" w:eastAsia="zh-CN"/>
        </w:rPr>
      </w:pPr>
      <w:bookmarkStart w:id="1" w:name="_Toc15409"/>
      <w:r>
        <w:rPr>
          <w:rFonts w:hint="eastAsia"/>
          <w:sz w:val="28"/>
          <w:szCs w:val="28"/>
          <w:lang w:eastAsia="zh-CN"/>
        </w:rPr>
        <w:t>附件</w:t>
      </w:r>
      <w:r>
        <w:rPr>
          <w:rFonts w:hint="eastAsia"/>
          <w:sz w:val="28"/>
          <w:szCs w:val="28"/>
          <w:lang w:val="en-US" w:eastAsia="zh-CN"/>
        </w:rPr>
        <w:t>6：</w:t>
      </w:r>
      <w:r>
        <w:rPr>
          <w:rFonts w:hint="default" w:ascii="Times New Roman" w:hAnsi="Times New Roman" w:eastAsia="宋体" w:cs="Times New Roman"/>
          <w:b/>
          <w:bCs/>
          <w:sz w:val="28"/>
          <w:szCs w:val="28"/>
          <w:highlight w:val="none"/>
          <w:lang w:val="en-US" w:eastAsia="zh-CN"/>
        </w:rPr>
        <w:t>其他需要说明的事项</w:t>
      </w:r>
      <w:bookmarkEnd w:id="1"/>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封开昇源矿业有限公司新型环保砖厂建设项目</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竣工环境保护验收其他需要说明的事项</w:t>
      </w:r>
    </w:p>
    <w:p>
      <w:pPr>
        <w:keepNext w:val="0"/>
        <w:keepLines w:val="0"/>
        <w:pageBreakBefore w:val="0"/>
        <w:widowControl/>
        <w:kinsoku/>
        <w:wordWrap/>
        <w:overflowPunct/>
        <w:topLinePunct w:val="0"/>
        <w:autoSpaceDE/>
        <w:autoSpaceDN/>
        <w:bidi w:val="0"/>
        <w:adjustRightInd w:val="0"/>
        <w:snapToGrid w:val="0"/>
        <w:spacing w:after="0" w:line="360" w:lineRule="auto"/>
        <w:ind w:right="-298" w:rightChars="-124"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根据《建设项目竣工环境保护验收暂行办法》“其他需要说明的事项”中应如实记载的内容包括环境保护设施设计、施工和验收过程简况，环境影响报告</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rPr>
        <w:t>及其审批部门审批决定中提出的除环境保护设施外的其他环境保护措施的实施情况以及整改工作情况等，现将</w:t>
      </w:r>
      <w:r>
        <w:rPr>
          <w:rFonts w:hint="default" w:ascii="Times New Roman" w:hAnsi="Times New Roman" w:eastAsia="宋体" w:cs="Times New Roman"/>
          <w:sz w:val="24"/>
          <w:szCs w:val="24"/>
          <w:lang w:eastAsia="zh-CN"/>
        </w:rPr>
        <w:t>我</w:t>
      </w:r>
      <w:r>
        <w:rPr>
          <w:rFonts w:hint="default" w:ascii="Times New Roman" w:hAnsi="Times New Roman" w:eastAsia="宋体" w:cs="Times New Roman"/>
          <w:sz w:val="24"/>
          <w:szCs w:val="24"/>
        </w:rPr>
        <w:t>单位需要说明的具体内容和要求梳理如下：</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1.1</w:t>
      </w:r>
      <w:r>
        <w:rPr>
          <w:rFonts w:hint="default" w:ascii="Times New Roman" w:hAnsi="Times New Roman" w:eastAsia="宋体" w:cs="Times New Roman"/>
          <w:sz w:val="24"/>
          <w:szCs w:val="24"/>
        </w:rPr>
        <w:t>设计过程简况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eastAsia" w:eastAsia="宋体" w:cs="Times New Roman"/>
          <w:sz w:val="24"/>
          <w:szCs w:val="24"/>
          <w:lang w:eastAsia="zh-CN"/>
        </w:rPr>
        <w:t>封开昇源矿业有限公司新型环保砖厂建设项目</w:t>
      </w:r>
      <w:r>
        <w:rPr>
          <w:rFonts w:hint="default" w:ascii="Times New Roman" w:hAnsi="Times New Roman" w:eastAsia="宋体" w:cs="Times New Roman"/>
          <w:sz w:val="24"/>
          <w:szCs w:val="24"/>
        </w:rPr>
        <w:t>已于201</w:t>
      </w:r>
      <w:r>
        <w:rPr>
          <w:rFonts w:hint="eastAsia" w:eastAsia="宋体" w:cs="Times New Roman"/>
          <w:sz w:val="24"/>
          <w:szCs w:val="24"/>
          <w:lang w:val="en-US" w:eastAsia="zh-CN"/>
        </w:rPr>
        <w:t>2</w:t>
      </w:r>
      <w:r>
        <w:rPr>
          <w:rFonts w:hint="default" w:ascii="Times New Roman" w:hAnsi="Times New Roman" w:eastAsia="宋体" w:cs="Times New Roman"/>
          <w:sz w:val="24"/>
          <w:szCs w:val="24"/>
        </w:rPr>
        <w:t>年</w:t>
      </w:r>
      <w:r>
        <w:rPr>
          <w:rFonts w:hint="eastAsia" w:eastAsia="宋体" w:cs="Times New Roman"/>
          <w:sz w:val="24"/>
          <w:szCs w:val="24"/>
          <w:lang w:val="en-US" w:eastAsia="zh-CN"/>
        </w:rPr>
        <w:t>4</w:t>
      </w:r>
      <w:r>
        <w:rPr>
          <w:rFonts w:hint="default" w:ascii="Times New Roman" w:hAnsi="Times New Roman" w:eastAsia="宋体" w:cs="Times New Roman"/>
          <w:sz w:val="24"/>
          <w:szCs w:val="24"/>
        </w:rPr>
        <w:t>月将环境保护设施纳入了初步设计，</w:t>
      </w:r>
      <w:r>
        <w:rPr>
          <w:rFonts w:hint="default" w:ascii="Times New Roman" w:hAnsi="Times New Roman" w:eastAsia="宋体" w:cs="Times New Roman"/>
          <w:sz w:val="24"/>
          <w:szCs w:val="24"/>
          <w:lang w:eastAsia="zh-CN"/>
        </w:rPr>
        <w:t>并委托</w:t>
      </w:r>
      <w:r>
        <w:rPr>
          <w:rFonts w:hint="eastAsia" w:eastAsia="宋体" w:cs="Times New Roman"/>
          <w:sz w:val="24"/>
          <w:szCs w:val="24"/>
          <w:lang w:eastAsia="zh-CN"/>
        </w:rPr>
        <w:t>东莞新源</w:t>
      </w:r>
      <w:r>
        <w:rPr>
          <w:rFonts w:hint="default" w:ascii="Times New Roman" w:hAnsi="Times New Roman" w:eastAsia="宋体" w:cs="Times New Roman"/>
          <w:sz w:val="24"/>
          <w:szCs w:val="24"/>
          <w:lang w:eastAsia="zh-CN"/>
        </w:rPr>
        <w:t>环保科技有限公司对</w:t>
      </w:r>
      <w:r>
        <w:rPr>
          <w:rFonts w:hint="eastAsia" w:eastAsia="宋体" w:cs="Times New Roman"/>
          <w:sz w:val="24"/>
          <w:szCs w:val="24"/>
          <w:lang w:eastAsia="zh-CN"/>
        </w:rPr>
        <w:t>废水、</w:t>
      </w:r>
      <w:r>
        <w:rPr>
          <w:rFonts w:hint="default" w:ascii="Times New Roman" w:hAnsi="Times New Roman" w:eastAsia="宋体" w:cs="Times New Roman"/>
          <w:sz w:val="24"/>
          <w:szCs w:val="24"/>
          <w:lang w:eastAsia="zh-CN"/>
        </w:rPr>
        <w:t>废</w:t>
      </w:r>
      <w:r>
        <w:rPr>
          <w:rFonts w:hint="eastAsia" w:eastAsia="宋体" w:cs="Times New Roman"/>
          <w:sz w:val="24"/>
          <w:szCs w:val="24"/>
          <w:lang w:eastAsia="zh-CN"/>
        </w:rPr>
        <w:t>气</w:t>
      </w:r>
      <w:r>
        <w:rPr>
          <w:rFonts w:hint="default" w:ascii="Times New Roman" w:hAnsi="Times New Roman" w:eastAsia="宋体" w:cs="Times New Roman"/>
          <w:sz w:val="24"/>
          <w:szCs w:val="24"/>
          <w:lang w:eastAsia="zh-CN"/>
        </w:rPr>
        <w:t>治理设施进行设计、施工等，</w:t>
      </w:r>
      <w:r>
        <w:rPr>
          <w:rFonts w:hint="default" w:ascii="Times New Roman" w:hAnsi="Times New Roman" w:eastAsia="宋体" w:cs="Times New Roman"/>
          <w:sz w:val="24"/>
          <w:szCs w:val="24"/>
        </w:rPr>
        <w:t>并编制了环保治理工程设计方案，并于201</w:t>
      </w:r>
      <w:r>
        <w:rPr>
          <w:rFonts w:hint="eastAsia" w:eastAsia="宋体" w:cs="Times New Roman"/>
          <w:sz w:val="24"/>
          <w:szCs w:val="24"/>
          <w:lang w:val="en-US" w:eastAsia="zh-CN"/>
        </w:rPr>
        <w:t>8</w:t>
      </w:r>
      <w:r>
        <w:rPr>
          <w:rFonts w:hint="default" w:ascii="Times New Roman" w:hAnsi="Times New Roman" w:eastAsia="宋体" w:cs="Times New Roman"/>
          <w:sz w:val="24"/>
          <w:szCs w:val="24"/>
        </w:rPr>
        <w:t>年</w:t>
      </w:r>
      <w:r>
        <w:rPr>
          <w:rFonts w:hint="eastAsia" w:eastAsia="宋体" w:cs="Times New Roman"/>
          <w:sz w:val="24"/>
          <w:szCs w:val="24"/>
          <w:lang w:val="en-US" w:eastAsia="zh-CN"/>
        </w:rPr>
        <w:t>7</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z w:val="24"/>
          <w:szCs w:val="24"/>
        </w:rPr>
        <w:t>完成</w:t>
      </w:r>
      <w:r>
        <w:rPr>
          <w:rFonts w:hint="eastAsia" w:eastAsia="宋体" w:cs="Times New Roman"/>
          <w:sz w:val="24"/>
          <w:szCs w:val="24"/>
          <w:lang w:eastAsia="zh-CN"/>
        </w:rPr>
        <w:t>废水、</w:t>
      </w:r>
      <w:r>
        <w:rPr>
          <w:rFonts w:hint="default" w:ascii="Times New Roman" w:hAnsi="Times New Roman" w:eastAsia="宋体" w:cs="Times New Roman"/>
          <w:sz w:val="24"/>
          <w:szCs w:val="24"/>
          <w:lang w:eastAsia="zh-CN"/>
        </w:rPr>
        <w:t>废</w:t>
      </w:r>
      <w:r>
        <w:rPr>
          <w:rFonts w:hint="eastAsia" w:eastAsia="宋体" w:cs="Times New Roman"/>
          <w:sz w:val="24"/>
          <w:szCs w:val="24"/>
          <w:lang w:eastAsia="zh-CN"/>
        </w:rPr>
        <w:t>气</w:t>
      </w:r>
      <w:r>
        <w:rPr>
          <w:rFonts w:hint="default" w:ascii="Times New Roman" w:hAnsi="Times New Roman" w:eastAsia="宋体" w:cs="Times New Roman"/>
          <w:sz w:val="24"/>
          <w:szCs w:val="24"/>
          <w:lang w:eastAsia="zh-CN"/>
        </w:rPr>
        <w:t>处理工程。</w:t>
      </w:r>
      <w:r>
        <w:rPr>
          <w:rFonts w:hint="default" w:ascii="Times New Roman" w:hAnsi="Times New Roman" w:eastAsia="宋体" w:cs="Times New Roman"/>
          <w:sz w:val="24"/>
          <w:szCs w:val="24"/>
        </w:rPr>
        <w:t>环境保护设施的设计符合环境保护设计规范的要求，落实了防止污染和生态破坏的措施和环境保护设施投资概算。</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1.2</w:t>
      </w:r>
      <w:r>
        <w:rPr>
          <w:rFonts w:hint="default" w:ascii="Times New Roman" w:hAnsi="Times New Roman" w:eastAsia="宋体" w:cs="Times New Roman"/>
          <w:sz w:val="24"/>
          <w:szCs w:val="24"/>
        </w:rPr>
        <w:t>施工过程简况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工程于201</w:t>
      </w:r>
      <w:r>
        <w:rPr>
          <w:rFonts w:hint="eastAsia" w:eastAsia="宋体" w:cs="Times New Roman"/>
          <w:sz w:val="24"/>
          <w:szCs w:val="24"/>
          <w:lang w:val="en-US" w:eastAsia="zh-CN"/>
        </w:rPr>
        <w:t>2</w:t>
      </w:r>
      <w:r>
        <w:rPr>
          <w:rFonts w:hint="default" w:ascii="Times New Roman" w:hAnsi="Times New Roman" w:eastAsia="宋体" w:cs="Times New Roman"/>
          <w:sz w:val="24"/>
          <w:szCs w:val="24"/>
        </w:rPr>
        <w:t>年</w:t>
      </w:r>
      <w:r>
        <w:rPr>
          <w:rFonts w:hint="eastAsia" w:eastAsia="宋体" w:cs="Times New Roman"/>
          <w:sz w:val="24"/>
          <w:szCs w:val="24"/>
          <w:lang w:val="en-US" w:eastAsia="zh-CN"/>
        </w:rPr>
        <w:t>4</w:t>
      </w:r>
      <w:r>
        <w:rPr>
          <w:rFonts w:hint="default" w:ascii="Times New Roman" w:hAnsi="Times New Roman" w:eastAsia="宋体" w:cs="Times New Roman"/>
          <w:sz w:val="24"/>
          <w:szCs w:val="24"/>
        </w:rPr>
        <w:t>月开工建设，201</w:t>
      </w:r>
      <w:r>
        <w:rPr>
          <w:rFonts w:hint="eastAsia" w:eastAsia="宋体" w:cs="Times New Roman"/>
          <w:sz w:val="24"/>
          <w:szCs w:val="24"/>
          <w:lang w:val="en-US" w:eastAsia="zh-CN"/>
        </w:rPr>
        <w:t>8</w:t>
      </w:r>
      <w:r>
        <w:rPr>
          <w:rFonts w:hint="default" w:ascii="Times New Roman" w:hAnsi="Times New Roman" w:eastAsia="宋体" w:cs="Times New Roman"/>
          <w:sz w:val="24"/>
          <w:szCs w:val="24"/>
        </w:rPr>
        <w:t>年</w:t>
      </w:r>
      <w:r>
        <w:rPr>
          <w:rFonts w:hint="eastAsia" w:eastAsia="宋体" w:cs="Times New Roman"/>
          <w:sz w:val="24"/>
          <w:szCs w:val="24"/>
          <w:lang w:val="en-US" w:eastAsia="zh-CN"/>
        </w:rPr>
        <w:t>7</w:t>
      </w:r>
      <w:r>
        <w:rPr>
          <w:rFonts w:hint="default" w:ascii="Times New Roman" w:hAnsi="Times New Roman" w:eastAsia="宋体" w:cs="Times New Roman"/>
          <w:sz w:val="24"/>
          <w:szCs w:val="24"/>
        </w:rPr>
        <w:t>月建设完成，本工程环保设施均与主体工程同步建设。同时，本工程建设过程中同步落实了环境影响报告</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rPr>
        <w:t>及其批复文件中提出的其他各项环境保护对策措施。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1.3</w:t>
      </w:r>
      <w:r>
        <w:rPr>
          <w:rFonts w:hint="default" w:ascii="Times New Roman" w:hAnsi="Times New Roman" w:eastAsia="宋体" w:cs="Times New Roman"/>
          <w:sz w:val="24"/>
          <w:szCs w:val="24"/>
        </w:rPr>
        <w:t>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建设单位于201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eastAsia" w:eastAsia="宋体" w:cs="Times New Roman"/>
          <w:sz w:val="24"/>
          <w:szCs w:val="24"/>
          <w:lang w:val="en-US" w:eastAsia="zh-CN"/>
        </w:rPr>
        <w:t>7</w:t>
      </w:r>
      <w:r>
        <w:rPr>
          <w:rFonts w:hint="default" w:ascii="Times New Roman" w:hAnsi="Times New Roman" w:eastAsia="宋体" w:cs="Times New Roman"/>
          <w:sz w:val="24"/>
          <w:szCs w:val="24"/>
        </w:rPr>
        <w:t>月委托</w:t>
      </w:r>
      <w:r>
        <w:rPr>
          <w:rFonts w:hint="eastAsia" w:eastAsia="宋体" w:cs="Times New Roman"/>
          <w:sz w:val="24"/>
          <w:szCs w:val="24"/>
          <w:lang w:eastAsia="zh-CN"/>
        </w:rPr>
        <w:t>广州科禹环保科技有限公司</w:t>
      </w:r>
      <w:r>
        <w:rPr>
          <w:rFonts w:hint="default" w:ascii="Times New Roman" w:hAnsi="Times New Roman" w:eastAsia="宋体" w:cs="Times New Roman"/>
          <w:sz w:val="24"/>
          <w:szCs w:val="24"/>
        </w:rPr>
        <w:t>对项目</w:t>
      </w:r>
      <w:r>
        <w:rPr>
          <w:rFonts w:hint="default" w:ascii="Times New Roman" w:hAnsi="Times New Roman" w:eastAsia="宋体" w:cs="Times New Roman"/>
          <w:sz w:val="24"/>
          <w:szCs w:val="24"/>
          <w:lang w:eastAsia="zh-CN"/>
        </w:rPr>
        <w:t>环保设施</w:t>
      </w:r>
      <w:r>
        <w:rPr>
          <w:rFonts w:hint="default" w:ascii="Times New Roman" w:hAnsi="Times New Roman" w:eastAsia="宋体" w:cs="Times New Roman"/>
          <w:sz w:val="24"/>
          <w:szCs w:val="24"/>
        </w:rPr>
        <w:t>进行验收检测，并于201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1</w:t>
      </w:r>
      <w:r>
        <w:rPr>
          <w:rFonts w:hint="default" w:ascii="Times New Roman" w:hAnsi="Times New Roman" w:eastAsia="宋体" w:cs="Times New Roman"/>
          <w:sz w:val="24"/>
          <w:szCs w:val="24"/>
        </w:rPr>
        <w:t>月完成该项目的环境保护验收报告工作，按照有关环保法规和相关技术规范的要求，编制完成了《</w:t>
      </w:r>
      <w:r>
        <w:rPr>
          <w:rFonts w:hint="eastAsia" w:eastAsia="宋体" w:cs="Times New Roman"/>
          <w:sz w:val="24"/>
          <w:szCs w:val="24"/>
          <w:lang w:eastAsia="zh-CN"/>
        </w:rPr>
        <w:t>封开昇源矿业有限公司新型环保砖厂建设项目</w:t>
      </w:r>
      <w:r>
        <w:rPr>
          <w:rFonts w:hint="default" w:ascii="Times New Roman" w:hAnsi="Times New Roman" w:eastAsia="宋体" w:cs="Times New Roman"/>
          <w:sz w:val="24"/>
          <w:szCs w:val="24"/>
        </w:rPr>
        <w:t>竣工环境保护验收</w:t>
      </w:r>
      <w:r>
        <w:rPr>
          <w:rFonts w:hint="eastAsia" w:eastAsia="宋体" w:cs="Times New Roman"/>
          <w:sz w:val="24"/>
          <w:szCs w:val="24"/>
          <w:lang w:eastAsia="zh-CN"/>
        </w:rPr>
        <w:t>监</w:t>
      </w:r>
      <w:r>
        <w:rPr>
          <w:rFonts w:hint="default" w:ascii="Times New Roman" w:hAnsi="Times New Roman" w:eastAsia="宋体" w:cs="Times New Roman"/>
          <w:sz w:val="24"/>
          <w:szCs w:val="24"/>
          <w:lang w:eastAsia="zh-CN"/>
        </w:rPr>
        <w:t>测</w:t>
      </w:r>
      <w:r>
        <w:rPr>
          <w:rFonts w:hint="default" w:ascii="Times New Roman" w:hAnsi="Times New Roman" w:eastAsia="宋体" w:cs="Times New Roman"/>
          <w:sz w:val="24"/>
          <w:szCs w:val="24"/>
        </w:rPr>
        <w:t>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1</w:t>
      </w:r>
      <w:r>
        <w:rPr>
          <w:rFonts w:hint="default" w:ascii="Times New Roman" w:hAnsi="Times New Roman" w:eastAsia="宋体" w:cs="Times New Roman"/>
          <w:sz w:val="24"/>
          <w:szCs w:val="24"/>
        </w:rPr>
        <w:t>月</w:t>
      </w:r>
      <w:r>
        <w:rPr>
          <w:rFonts w:hint="eastAsia" w:eastAsia="宋体" w:cs="Times New Roman"/>
          <w:sz w:val="24"/>
          <w:szCs w:val="24"/>
          <w:lang w:val="en-US" w:eastAsia="zh-CN"/>
        </w:rPr>
        <w:t>14</w:t>
      </w:r>
      <w:r>
        <w:rPr>
          <w:rFonts w:hint="default" w:ascii="Times New Roman" w:hAnsi="Times New Roman" w:eastAsia="宋体" w:cs="Times New Roman"/>
          <w:sz w:val="24"/>
          <w:szCs w:val="24"/>
        </w:rPr>
        <w:t>日，</w:t>
      </w:r>
      <w:r>
        <w:rPr>
          <w:rFonts w:hint="eastAsia" w:eastAsia="宋体" w:cs="Times New Roman"/>
          <w:sz w:val="24"/>
          <w:szCs w:val="24"/>
          <w:lang w:eastAsia="zh-CN"/>
        </w:rPr>
        <w:t>封开昇源矿业有限公司新型环保砖厂</w:t>
      </w:r>
      <w:r>
        <w:rPr>
          <w:rFonts w:hint="default" w:ascii="Times New Roman" w:hAnsi="Times New Roman" w:eastAsia="宋体" w:cs="Times New Roman"/>
          <w:sz w:val="24"/>
          <w:szCs w:val="24"/>
        </w:rPr>
        <w:t>在</w:t>
      </w:r>
      <w:r>
        <w:rPr>
          <w:rFonts w:hint="default" w:ascii="Times New Roman" w:hAnsi="Times New Roman" w:eastAsia="宋体" w:cs="Times New Roman"/>
          <w:sz w:val="24"/>
          <w:szCs w:val="24"/>
          <w:lang w:eastAsia="zh-CN"/>
        </w:rPr>
        <w:t>本公司会议室</w:t>
      </w:r>
      <w:r>
        <w:rPr>
          <w:rFonts w:hint="default" w:ascii="Times New Roman" w:hAnsi="Times New Roman" w:eastAsia="宋体" w:cs="Times New Roman"/>
          <w:sz w:val="24"/>
          <w:szCs w:val="24"/>
        </w:rPr>
        <w:t>自主召开</w:t>
      </w:r>
      <w:r>
        <w:rPr>
          <w:rFonts w:hint="eastAsia" w:eastAsia="宋体" w:cs="Times New Roman"/>
          <w:sz w:val="24"/>
          <w:szCs w:val="24"/>
          <w:lang w:eastAsia="zh-CN"/>
        </w:rPr>
        <w:t>封开昇源矿业有限公司新型环保砖厂建设项目</w:t>
      </w:r>
      <w:r>
        <w:rPr>
          <w:rFonts w:hint="default" w:ascii="Times New Roman" w:hAnsi="Times New Roman" w:eastAsia="宋体" w:cs="Times New Roman"/>
          <w:sz w:val="24"/>
          <w:szCs w:val="24"/>
        </w:rPr>
        <w:t>竣工环境保护验收会，</w:t>
      </w:r>
      <w:r>
        <w:rPr>
          <w:rFonts w:hint="default" w:ascii="Times New Roman" w:hAnsi="Times New Roman" w:eastAsia="宋体" w:cs="Times New Roman"/>
          <w:sz w:val="24"/>
          <w:szCs w:val="24"/>
          <w:lang w:val="en-US" w:eastAsia="zh-CN"/>
        </w:rPr>
        <w:t>会议邀请了竣工环境保护验收监测单位（</w:t>
      </w:r>
      <w:r>
        <w:rPr>
          <w:rFonts w:hint="eastAsia" w:eastAsia="宋体" w:cs="Times New Roman"/>
          <w:sz w:val="24"/>
          <w:szCs w:val="24"/>
          <w:lang w:val="en-US" w:eastAsia="zh-CN"/>
        </w:rPr>
        <w:t>广州科禹环保科技有限公司</w:t>
      </w:r>
      <w:r>
        <w:rPr>
          <w:rFonts w:hint="default" w:ascii="Times New Roman" w:hAnsi="Times New Roman" w:eastAsia="宋体" w:cs="Times New Roman"/>
          <w:sz w:val="24"/>
          <w:szCs w:val="24"/>
          <w:lang w:val="en-US" w:eastAsia="zh-CN"/>
        </w:rPr>
        <w:t>）、环保治理设施施工单位和环评单位（</w:t>
      </w:r>
      <w:r>
        <w:rPr>
          <w:rFonts w:hint="eastAsia" w:eastAsia="宋体" w:cs="Times New Roman"/>
          <w:sz w:val="24"/>
          <w:szCs w:val="24"/>
          <w:lang w:val="en-US" w:eastAsia="zh-CN"/>
        </w:rPr>
        <w:t>宿州市环境保护科学研究所</w:t>
      </w:r>
      <w:r>
        <w:rPr>
          <w:rFonts w:hint="default" w:ascii="Times New Roman" w:hAnsi="Times New Roman" w:eastAsia="宋体" w:cs="Times New Roman"/>
          <w:sz w:val="24"/>
          <w:szCs w:val="24"/>
          <w:lang w:val="en-US" w:eastAsia="zh-CN"/>
        </w:rPr>
        <w:t>）、三位专家共同组成了验收工作组（名单附后）。验收组进行了现场检查、审阅了建设项目环境影响报告表及审批意见，查阅了验收监测报告等有关材料，经质询与讨论，</w:t>
      </w:r>
      <w:r>
        <w:rPr>
          <w:rFonts w:hint="default" w:ascii="Times New Roman" w:hAnsi="Times New Roman" w:eastAsia="宋体" w:cs="Times New Roman"/>
          <w:sz w:val="24"/>
          <w:szCs w:val="24"/>
        </w:rPr>
        <w:t>会议形成了验收意见，明确本工程环境保护设施符合验收条件，验收组同意本项目通过竣工环境保护验收。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二、其他环保措施的实施情况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环境影响报告表及其批复提出的除环境保护设施外的其他环保措施主要包</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括制度措施和配套措施等，现将需要说明的措施内容和要求梳理如下：</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2.1制度措施落实情况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（1）环保组织机构及规章制度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按环评报告表要求设置了环保组织机构及领导小组，明确岗位职责，由专人负责日常管理。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2.2配套措施落实情况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项目污染物排放口已按照有关规定设置规范的标识。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三、整改工作情况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验收组提出如下建议：</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1、进一步完善管理制度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加强</w:t>
      </w:r>
      <w:r>
        <w:rPr>
          <w:rFonts w:hint="default" w:ascii="Times New Roman" w:hAnsi="Times New Roman" w:eastAsia="宋体" w:cs="Times New Roman"/>
          <w:sz w:val="24"/>
          <w:szCs w:val="24"/>
        </w:rPr>
        <w:t>环保设施运行及维护，确保长期稳定达标</w:t>
      </w:r>
      <w:r>
        <w:rPr>
          <w:rFonts w:hint="default" w:ascii="Times New Roman" w:hAnsi="Times New Roman" w:eastAsia="宋体" w:cs="Times New Roman"/>
          <w:sz w:val="24"/>
          <w:szCs w:val="24"/>
          <w:lang w:val="en-US" w:eastAsia="zh-CN"/>
        </w:rPr>
        <w:t>排放。</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进一步完善项目竣工环境保护验收监测报告，并做好验收后续工作。</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w:t>
      </w:r>
      <w:r>
        <w:rPr>
          <w:rFonts w:hint="eastAsia" w:eastAsia="宋体" w:cs="Times New Roman"/>
          <w:sz w:val="24"/>
          <w:szCs w:val="24"/>
          <w:lang w:eastAsia="zh-CN"/>
        </w:rPr>
        <w:t>封开昇源矿业有限公司新型环保砖厂</w:t>
      </w:r>
    </w:p>
    <w:p>
      <w:pPr>
        <w:jc w:val="right"/>
        <w:rPr>
          <w:rFonts w:hint="eastAsia"/>
          <w:lang w:val="en-US" w:eastAsia="zh-CN"/>
        </w:rPr>
      </w:pPr>
      <w:r>
        <w:rPr>
          <w:rFonts w:hint="default" w:ascii="Times New Roman" w:hAnsi="Times New Roman" w:eastAsia="宋体" w:cs="Times New Roman"/>
          <w:b w:val="0"/>
          <w:bCs/>
          <w:sz w:val="24"/>
          <w:szCs w:val="24"/>
        </w:rPr>
        <w:t xml:space="preserve">                                                 201</w:t>
      </w:r>
      <w:r>
        <w:rPr>
          <w:rFonts w:hint="default" w:ascii="Times New Roman" w:hAnsi="Times New Roman" w:eastAsia="宋体" w:cs="Times New Roman"/>
          <w:b w:val="0"/>
          <w:bCs/>
          <w:sz w:val="24"/>
          <w:szCs w:val="24"/>
          <w:lang w:val="en-US" w:eastAsia="zh-CN"/>
        </w:rPr>
        <w:t>9</w:t>
      </w:r>
      <w:r>
        <w:rPr>
          <w:rFonts w:hint="default" w:ascii="Times New Roman" w:hAnsi="Times New Roman" w:eastAsia="宋体" w:cs="Times New Roman"/>
          <w:b w:val="0"/>
          <w:bCs/>
          <w:sz w:val="24"/>
          <w:szCs w:val="24"/>
        </w:rPr>
        <w:t>年</w:t>
      </w:r>
      <w:r>
        <w:rPr>
          <w:rFonts w:hint="default" w:ascii="Times New Roman" w:hAnsi="Times New Roman" w:eastAsia="宋体" w:cs="Times New Roman"/>
          <w:b w:val="0"/>
          <w:bCs/>
          <w:sz w:val="24"/>
          <w:szCs w:val="24"/>
          <w:lang w:val="en-US" w:eastAsia="zh-CN"/>
        </w:rPr>
        <w:t>1</w:t>
      </w:r>
      <w:r>
        <w:rPr>
          <w:rFonts w:hint="eastAsia" w:eastAsia="宋体" w:cs="Times New Roman"/>
          <w:b w:val="0"/>
          <w:bCs/>
          <w:sz w:val="24"/>
          <w:szCs w:val="24"/>
          <w:lang w:val="en-US" w:eastAsia="zh-CN"/>
        </w:rPr>
        <w:t>1</w:t>
      </w:r>
      <w:r>
        <w:rPr>
          <w:rFonts w:hint="default" w:ascii="Times New Roman" w:hAnsi="Times New Roman" w:eastAsia="宋体" w:cs="Times New Roman"/>
          <w:b w:val="0"/>
          <w:bCs/>
          <w:sz w:val="24"/>
          <w:szCs w:val="24"/>
        </w:rPr>
        <w:t>月</w:t>
      </w:r>
      <w:r>
        <w:rPr>
          <w:rFonts w:hint="eastAsia" w:eastAsia="宋体" w:cs="Times New Roman"/>
          <w:b w:val="0"/>
          <w:bCs/>
          <w:sz w:val="24"/>
          <w:szCs w:val="24"/>
          <w:lang w:val="en-US" w:eastAsia="zh-CN"/>
        </w:rPr>
        <w:t>14</w:t>
      </w:r>
      <w:r>
        <w:rPr>
          <w:rFonts w:hint="default" w:ascii="Times New Roman" w:hAnsi="Times New Roman" w:eastAsia="宋体" w:cs="Times New Roman"/>
          <w:b w:val="0"/>
          <w:bCs/>
          <w:sz w:val="24"/>
          <w:szCs w:val="24"/>
        </w:rPr>
        <w:t>日</w:t>
      </w:r>
    </w:p>
    <w:p>
      <w:pPr>
        <w:pStyle w:val="2"/>
        <w:rPr>
          <w:rFonts w:hint="default"/>
          <w:lang w:val="en-US" w:eastAsia="zh-CN"/>
        </w:rPr>
      </w:pPr>
    </w:p>
    <w:p/>
    <w:sectPr>
      <w:headerReference r:id="rId5" w:type="default"/>
      <w:footerReference r:id="rId6"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ytv0e5AQAAVgMAAA4AAAAAAAAAAQAgAAAAHgEAAGRycy9lMm9Eb2MueG1sUEsFBgAAAAAGAAYA&#10;WQEAAEk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PcNnem5AQAAVgMAAA4AAAAAAAAAAQAgAAAAHgEAAGRycy9lMm9Eb2MueG1sUEsFBgAAAAAGAAYA&#10;WQEAAEk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AC51"/>
    <w:multiLevelType w:val="multilevel"/>
    <w:tmpl w:val="6AC2AC51"/>
    <w:lvl w:ilvl="0" w:tentative="0">
      <w:start w:val="1"/>
      <w:numFmt w:val="decimal"/>
      <w:pStyle w:val="3"/>
      <w:isLgl/>
      <w:suff w:val="nothing"/>
      <w:lvlText w:val="第%1章 "/>
      <w:lvlJc w:val="left"/>
      <w:pPr>
        <w:tabs>
          <w:tab w:val="left" w:pos="1418"/>
        </w:tabs>
      </w:pPr>
      <w:rPr>
        <w:rFonts w:hint="default" w:ascii="宋体" w:hAnsi="宋体" w:eastAsia="宋体" w:cs="宋体"/>
        <w:sz w:val="32"/>
        <w:szCs w:val="36"/>
      </w:rPr>
    </w:lvl>
    <w:lvl w:ilvl="1" w:tentative="0">
      <w:start w:val="1"/>
      <w:numFmt w:val="decimal"/>
      <w:isLgl/>
      <w:suff w:val="nothing"/>
      <w:lvlText w:val="%1.%2 "/>
      <w:lvlJc w:val="left"/>
      <w:pPr>
        <w:tabs>
          <w:tab w:val="left" w:pos="1418"/>
        </w:tabs>
      </w:pPr>
      <w:rPr>
        <w:rFonts w:hint="default" w:ascii="Times New Roman" w:hAnsi="Times New Roman" w:eastAsia="宋体" w:cs="Times New Roman"/>
        <w:b/>
        <w:i w:val="0"/>
        <w:color w:val="auto"/>
        <w:sz w:val="28"/>
        <w:szCs w:val="28"/>
      </w:rPr>
    </w:lvl>
    <w:lvl w:ilvl="2" w:tentative="0">
      <w:start w:val="1"/>
      <w:numFmt w:val="decimal"/>
      <w:isLgl/>
      <w:suff w:val="space"/>
      <w:lvlText w:val="%1.%2.%3 "/>
      <w:lvlJc w:val="left"/>
      <w:pPr>
        <w:tabs>
          <w:tab w:val="left" w:pos="1418"/>
        </w:tabs>
      </w:pPr>
      <w:rPr>
        <w:rFonts w:hint="default" w:ascii="Times New Roman" w:hAnsi="Times New Roman" w:cs="Times New Roman"/>
        <w:b/>
        <w:color w:val="000000"/>
        <w:sz w:val="28"/>
        <w:szCs w:val="28"/>
      </w:rPr>
    </w:lvl>
    <w:lvl w:ilvl="3" w:tentative="0">
      <w:start w:val="1"/>
      <w:numFmt w:val="decimal"/>
      <w:isLgl/>
      <w:suff w:val="space"/>
      <w:lvlText w:val="%1.%2.%3.%4"/>
      <w:lvlJc w:val="left"/>
      <w:pPr>
        <w:tabs>
          <w:tab w:val="left" w:pos="1418"/>
        </w:tabs>
        <w:ind w:firstLine="284"/>
      </w:pPr>
      <w:rPr>
        <w:rFonts w:hint="default" w:ascii="Times New Roman" w:hAnsi="Times New Roman" w:cs="Times New Roman"/>
        <w:b/>
        <w:color w:val="000000"/>
        <w:sz w:val="24"/>
        <w:szCs w:val="24"/>
      </w:rPr>
    </w:lvl>
    <w:lvl w:ilvl="4" w:tentative="0">
      <w:start w:val="1"/>
      <w:numFmt w:val="decimal"/>
      <w:isLgl/>
      <w:lvlText w:val="%1.%2.%3.%4.%5"/>
      <w:lvlJc w:val="left"/>
      <w:pPr>
        <w:tabs>
          <w:tab w:val="left" w:pos="2782"/>
        </w:tabs>
        <w:ind w:firstLine="284"/>
      </w:pPr>
      <w:rPr>
        <w:rFonts w:hint="eastAsia"/>
      </w:rPr>
    </w:lvl>
    <w:lvl w:ilvl="5" w:tentative="0">
      <w:start w:val="1"/>
      <w:numFmt w:val="decimal"/>
      <w:lvlText w:val="%1.%2.%3.%4.%5.%6"/>
      <w:lvlJc w:val="left"/>
      <w:pPr>
        <w:tabs>
          <w:tab w:val="left" w:pos="1850"/>
        </w:tabs>
        <w:ind w:left="1850" w:hanging="1152"/>
      </w:pPr>
      <w:rPr>
        <w:rFonts w:hint="eastAsia"/>
      </w:rPr>
    </w:lvl>
    <w:lvl w:ilvl="6" w:tentative="0">
      <w:start w:val="1"/>
      <w:numFmt w:val="decimal"/>
      <w:lvlText w:val="%1.%2.%3.%4.%5.%6.%7"/>
      <w:lvlJc w:val="left"/>
      <w:pPr>
        <w:tabs>
          <w:tab w:val="left" w:pos="1994"/>
        </w:tabs>
        <w:ind w:left="1994" w:hanging="1296"/>
      </w:pPr>
      <w:rPr>
        <w:rFonts w:hint="eastAsia"/>
      </w:rPr>
    </w:lvl>
    <w:lvl w:ilvl="7" w:tentative="0">
      <w:start w:val="1"/>
      <w:numFmt w:val="decimal"/>
      <w:lvlText w:val="%1.%2.%3.%4.%5.%6.%7.%8"/>
      <w:lvlJc w:val="left"/>
      <w:pPr>
        <w:tabs>
          <w:tab w:val="left" w:pos="2138"/>
        </w:tabs>
        <w:ind w:left="2138" w:hanging="1440"/>
      </w:pPr>
      <w:rPr>
        <w:rFonts w:hint="eastAsia"/>
      </w:rPr>
    </w:lvl>
    <w:lvl w:ilvl="8" w:tentative="0">
      <w:start w:val="1"/>
      <w:numFmt w:val="decimal"/>
      <w:lvlText w:val="%1.%2.%3.%4.%5.%6.%7.%8.%9"/>
      <w:lvlJc w:val="left"/>
      <w:pPr>
        <w:tabs>
          <w:tab w:val="left" w:pos="2282"/>
        </w:tabs>
        <w:ind w:left="2282"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77DA8"/>
    <w:rsid w:val="06373D0F"/>
    <w:rsid w:val="74A7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0" w:firstLineChars="0"/>
    </w:pPr>
    <w:rPr>
      <w:rFonts w:ascii="Times New Roman" w:hAnsi="Times New Roman" w:eastAsia="宋体" w:cs="Times New Roman"/>
      <w:sz w:val="24"/>
      <w:szCs w:val="22"/>
      <w:lang w:val="en-US" w:eastAsia="zh-CN" w:bidi="ar-SA"/>
    </w:rPr>
  </w:style>
  <w:style w:type="paragraph" w:styleId="3">
    <w:name w:val="heading 1"/>
    <w:basedOn w:val="4"/>
    <w:next w:val="1"/>
    <w:qFormat/>
    <w:uiPriority w:val="0"/>
    <w:pPr>
      <w:keepNext/>
      <w:keepLines/>
      <w:numPr>
        <w:ilvl w:val="0"/>
        <w:numId w:val="1"/>
      </w:numPr>
      <w:tabs>
        <w:tab w:val="left" w:pos="0"/>
      </w:tabs>
      <w:spacing w:before="20" w:after="20" w:line="360" w:lineRule="auto"/>
      <w:outlineLvl w:val="0"/>
    </w:pPr>
    <w:rPr>
      <w:rFonts w:ascii="Times New Roman" w:hAnsi="Times New Roman" w:eastAsia="宋体"/>
      <w:kern w:val="44"/>
      <w:sz w:val="28"/>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Title"/>
    <w:basedOn w:val="1"/>
    <w:next w:val="1"/>
    <w:qFormat/>
    <w:uiPriority w:val="0"/>
    <w:pPr>
      <w:widowControl w:val="0"/>
      <w:adjustRightInd/>
      <w:snapToGrid/>
      <w:spacing w:after="0" w:line="560" w:lineRule="exact"/>
      <w:ind w:firstLine="643" w:firstLineChars="200"/>
      <w:jc w:val="both"/>
      <w:outlineLvl w:val="0"/>
    </w:pPr>
    <w:rPr>
      <w:rFonts w:ascii="Times New Roman" w:hAnsi="Times New Roman" w:eastAsia="方正仿宋_GBK"/>
      <w:b/>
      <w:kern w:val="2"/>
      <w:sz w:val="32"/>
      <w:szCs w:val="24"/>
    </w:rPr>
  </w:style>
  <w:style w:type="paragraph" w:styleId="5">
    <w:name w:val="footer"/>
    <w:basedOn w:val="1"/>
    <w:uiPriority w:val="0"/>
    <w:pPr>
      <w:tabs>
        <w:tab w:val="center" w:pos="4153"/>
        <w:tab w:val="right" w:pos="8306"/>
      </w:tabs>
    </w:pPr>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YYHB</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2019-12-06T02:37:00Z</dcterms:created>
  <dc:creator>海╭＾＾☆╮</dc:creator>
  <cp:lastModifiedBy>海╭＾＾☆╮</cp:lastModifiedBy>
  <dcterms:modified xsi:type="dcterms:W3CDTF">2019-12-06T02:48:58Z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