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E0" w:rsidRDefault="00EE74E0" w:rsidP="00EE74E0">
      <w:pPr>
        <w:pStyle w:val="1"/>
        <w:spacing w:after="0" w:line="360" w:lineRule="auto"/>
        <w:outlineLvl w:val="0"/>
        <w:rPr>
          <w:rFonts w:ascii="Times New Roman" w:hAnsi="Times New Roman"/>
          <w:color w:val="000000" w:themeColor="text1"/>
          <w:sz w:val="21"/>
          <w:szCs w:val="21"/>
        </w:rPr>
      </w:pPr>
      <w:bookmarkStart w:id="0" w:name="_Toc15382"/>
      <w:bookmarkStart w:id="1" w:name="_Toc30677"/>
      <w:bookmarkStart w:id="2" w:name="_Toc25249"/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 w:hint="eastAsia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建设项目竣工环境保护</w:t>
      </w:r>
      <w:r>
        <w:rPr>
          <w:rFonts w:ascii="Times New Roman" w:hAnsi="Times New Roman"/>
          <w:color w:val="000000" w:themeColor="text1"/>
        </w:rPr>
        <w:t>“</w:t>
      </w:r>
      <w:r>
        <w:rPr>
          <w:rFonts w:ascii="Times New Roman" w:hAnsi="Times New Roman"/>
          <w:color w:val="000000" w:themeColor="text1"/>
        </w:rPr>
        <w:t>三同时</w:t>
      </w:r>
      <w:r>
        <w:rPr>
          <w:rFonts w:ascii="Times New Roman" w:hAnsi="Times New Roman"/>
          <w:color w:val="000000" w:themeColor="text1"/>
        </w:rPr>
        <w:t>”</w:t>
      </w:r>
      <w:r>
        <w:rPr>
          <w:rFonts w:ascii="Times New Roman" w:hAnsi="Times New Roman"/>
          <w:color w:val="000000" w:themeColor="text1"/>
        </w:rPr>
        <w:t>验收登记表</w:t>
      </w:r>
      <w:bookmarkEnd w:id="0"/>
      <w:bookmarkEnd w:id="1"/>
      <w:bookmarkEnd w:id="2"/>
    </w:p>
    <w:p w:rsidR="00EE74E0" w:rsidRDefault="00EE74E0" w:rsidP="00EE74E0">
      <w:pPr>
        <w:spacing w:after="0" w:line="300" w:lineRule="exact"/>
        <w:jc w:val="center"/>
        <w:rPr>
          <w:rFonts w:ascii="Times New Roman" w:eastAsia="宋体" w:hAnsi="Times New Roman"/>
          <w:b/>
          <w:color w:val="000000" w:themeColor="text1"/>
          <w:sz w:val="21"/>
          <w:szCs w:val="21"/>
        </w:rPr>
      </w:pPr>
      <w:r>
        <w:rPr>
          <w:rFonts w:ascii="Times New Roman" w:eastAsia="宋体" w:hAnsi="Times New Roman"/>
          <w:b/>
          <w:color w:val="000000" w:themeColor="text1"/>
          <w:sz w:val="21"/>
          <w:szCs w:val="21"/>
        </w:rPr>
        <w:t>建设项目竣工环境保护</w:t>
      </w:r>
      <w:r>
        <w:rPr>
          <w:rFonts w:ascii="Times New Roman" w:eastAsia="宋体" w:hAnsi="Times New Roman"/>
          <w:b/>
          <w:color w:val="000000" w:themeColor="text1"/>
          <w:sz w:val="21"/>
          <w:szCs w:val="21"/>
        </w:rPr>
        <w:t>“</w:t>
      </w:r>
      <w:r>
        <w:rPr>
          <w:rFonts w:ascii="Times New Roman" w:eastAsia="宋体" w:hAnsi="Times New Roman"/>
          <w:b/>
          <w:color w:val="000000" w:themeColor="text1"/>
          <w:sz w:val="21"/>
          <w:szCs w:val="21"/>
        </w:rPr>
        <w:t>三同时</w:t>
      </w:r>
      <w:r>
        <w:rPr>
          <w:rFonts w:ascii="Times New Roman" w:eastAsia="宋体" w:hAnsi="Times New Roman"/>
          <w:b/>
          <w:color w:val="000000" w:themeColor="text1"/>
          <w:sz w:val="21"/>
          <w:szCs w:val="21"/>
        </w:rPr>
        <w:t>”</w:t>
      </w:r>
      <w:r>
        <w:rPr>
          <w:rFonts w:ascii="Times New Roman" w:eastAsia="宋体" w:hAnsi="Times New Roman"/>
          <w:b/>
          <w:color w:val="000000" w:themeColor="text1"/>
          <w:sz w:val="21"/>
          <w:szCs w:val="21"/>
        </w:rPr>
        <w:t>验收登记表</w:t>
      </w:r>
    </w:p>
    <w:p w:rsidR="00EE74E0" w:rsidRDefault="00EE74E0" w:rsidP="00EE74E0">
      <w:pPr>
        <w:spacing w:after="0"/>
        <w:rPr>
          <w:rFonts w:ascii="Times New Roman" w:eastAsia="宋体" w:hAnsi="Times New Roman"/>
          <w:b/>
          <w:color w:val="000000" w:themeColor="text1"/>
          <w:sz w:val="21"/>
          <w:szCs w:val="21"/>
        </w:rPr>
      </w:pPr>
      <w:r>
        <w:rPr>
          <w:rFonts w:ascii="Times New Roman" w:eastAsia="宋体" w:hAnsi="Times New Roman"/>
          <w:b/>
          <w:color w:val="000000" w:themeColor="text1"/>
          <w:sz w:val="21"/>
          <w:szCs w:val="21"/>
        </w:rPr>
        <w:t>填表单位（盖章）</w:t>
      </w:r>
      <w:r>
        <w:rPr>
          <w:rFonts w:ascii="Times New Roman" w:eastAsia="宋体" w:hAnsi="Times New Roman"/>
          <w:b/>
          <w:color w:val="000000" w:themeColor="text1"/>
          <w:kern w:val="2"/>
          <w:sz w:val="21"/>
          <w:szCs w:val="21"/>
        </w:rPr>
        <w:t>：</w:t>
      </w:r>
      <w:r>
        <w:rPr>
          <w:rFonts w:ascii="Times New Roman" w:eastAsia="宋体" w:hAnsi="Times New Roman"/>
          <w:b/>
          <w:color w:val="000000" w:themeColor="text1"/>
          <w:sz w:val="21"/>
          <w:szCs w:val="21"/>
        </w:rPr>
        <w:t xml:space="preserve">                  </w:t>
      </w:r>
      <w:r>
        <w:rPr>
          <w:rFonts w:ascii="Times New Roman" w:eastAsia="宋体" w:hAnsi="Times New Roman"/>
          <w:b/>
          <w:color w:val="000000" w:themeColor="text1"/>
          <w:sz w:val="21"/>
          <w:szCs w:val="21"/>
        </w:rPr>
        <w:t>填表人（签字）：</w:t>
      </w:r>
      <w:r>
        <w:rPr>
          <w:rFonts w:ascii="Times New Roman" w:eastAsia="宋体" w:hAnsi="Times New Roman"/>
          <w:b/>
          <w:color w:val="000000" w:themeColor="text1"/>
          <w:sz w:val="21"/>
          <w:szCs w:val="21"/>
        </w:rPr>
        <w:t xml:space="preserve">                              </w:t>
      </w:r>
      <w:r>
        <w:rPr>
          <w:rFonts w:ascii="Times New Roman" w:eastAsia="宋体" w:hAnsi="Times New Roman"/>
          <w:b/>
          <w:color w:val="000000" w:themeColor="text1"/>
          <w:sz w:val="21"/>
          <w:szCs w:val="21"/>
        </w:rPr>
        <w:t>项目经办人（签字）：</w:t>
      </w:r>
    </w:p>
    <w:tbl>
      <w:tblPr>
        <w:tblW w:w="158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"/>
        <w:gridCol w:w="168"/>
        <w:gridCol w:w="1013"/>
        <w:gridCol w:w="783"/>
        <w:gridCol w:w="828"/>
        <w:gridCol w:w="1379"/>
        <w:gridCol w:w="894"/>
        <w:gridCol w:w="709"/>
        <w:gridCol w:w="475"/>
        <w:gridCol w:w="92"/>
        <w:gridCol w:w="992"/>
        <w:gridCol w:w="1190"/>
        <w:gridCol w:w="1078"/>
        <w:gridCol w:w="1678"/>
        <w:gridCol w:w="1027"/>
        <w:gridCol w:w="559"/>
        <w:gridCol w:w="685"/>
        <w:gridCol w:w="484"/>
        <w:gridCol w:w="618"/>
        <w:gridCol w:w="794"/>
      </w:tblGrid>
      <w:tr w:rsidR="00EE74E0" w:rsidTr="00A73D4D">
        <w:trPr>
          <w:cantSplit/>
          <w:trHeight w:val="19"/>
          <w:jc w:val="center"/>
        </w:trPr>
        <w:tc>
          <w:tcPr>
            <w:tcW w:w="43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EE74E0" w:rsidRDefault="00EE74E0" w:rsidP="00A73D4D">
            <w:pPr>
              <w:spacing w:after="0"/>
              <w:ind w:left="113" w:right="113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建设项目</w:t>
            </w: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项目名称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肇庆市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97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区三期商住小区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区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项目代码</w:t>
            </w:r>
          </w:p>
        </w:tc>
        <w:tc>
          <w:tcPr>
            <w:tcW w:w="3946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建设地点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广东省肇庆市端州区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97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区信安路东侧</w:t>
            </w:r>
          </w:p>
        </w:tc>
      </w:tr>
      <w:tr w:rsidR="00EE74E0" w:rsidTr="00A73D4D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行业类别（分类管理名录）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 xml:space="preserve">K7010 </w:t>
            </w: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房地产开发经营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建设性质</w:t>
            </w:r>
          </w:p>
        </w:tc>
        <w:tc>
          <w:tcPr>
            <w:tcW w:w="5532" w:type="dxa"/>
            <w:gridSpan w:val="5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sym w:font="Wingdings 2" w:char="0052"/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新建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改扩建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技术改造</w:t>
            </w:r>
          </w:p>
        </w:tc>
        <w:tc>
          <w:tcPr>
            <w:tcW w:w="1169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项目厂区中心经度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纬度</w:t>
            </w:r>
          </w:p>
        </w:tc>
        <w:tc>
          <w:tcPr>
            <w:tcW w:w="1412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23°04'40.25"N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112°30'26.57"E</w:t>
            </w:r>
          </w:p>
        </w:tc>
      </w:tr>
      <w:tr w:rsidR="00EE74E0" w:rsidTr="00A73D4D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设计生产能力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ind w:firstLineChars="200" w:firstLine="360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肇庆市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97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区三期商住小区建设项目位于广东省肇庆市端州区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97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区信安路东侧，总投资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亿元，其中环保投资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2000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万元，规划总用地面积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112889m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，总建筑面积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413100m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（其中居住建筑面积为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316496 m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，商铺建筑面积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28408m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，幼儿园面积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2200 m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）；总户数为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2809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户，居住人数约为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8989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人；容积率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2.8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，建筑密度为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28.43%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，绿地率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33%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；总停车位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2400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个。本项目的主要使用功能包括住宅、办公楼和停车场，配套公建包括幼儿园、物业管理、居民活动场所等。本项目分为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两个区，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地块的主体工程是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栋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18-25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层高的商住楼；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地块的主体工程是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栋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层的幼儿园和商住楼。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实际生产能力</w:t>
            </w:r>
          </w:p>
        </w:tc>
        <w:tc>
          <w:tcPr>
            <w:tcW w:w="3946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肇庆市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97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区三期商住小区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区建设项目位于广东省肇庆市端州区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97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区信安路东侧，总投资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亿元，其中环保投资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800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万元，规划总用地面积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16014.39m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，规划净用地面积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9208.50m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，总建筑面积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50561.62m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（其中居住建筑面积为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23472.99 m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，办公楼建筑面积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10037.24m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，幼儿园建筑面积为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3861.67m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）；总户数为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225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户，居住人数约为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778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人；容积率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2.578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，建筑密度为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21.61%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，绿地率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35%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；总停车位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257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个（其中地上机动车位数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46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个，地下机动车位数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211</w:t>
            </w: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个）。本项目的主要使用功能包括住宅、办公楼和停车场，配套公建包括幼儿园等。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环评单位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中国林业科学研究院森林生态环境与保护研究所</w:t>
            </w:r>
          </w:p>
        </w:tc>
      </w:tr>
      <w:tr w:rsidR="00EE74E0" w:rsidTr="00A73D4D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环评文件审批机关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肇庆市华丽置业有限公司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审批文号</w:t>
            </w:r>
          </w:p>
        </w:tc>
        <w:tc>
          <w:tcPr>
            <w:tcW w:w="3946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环评文件类型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  <w:t>报告</w:t>
            </w: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书</w:t>
            </w:r>
          </w:p>
        </w:tc>
      </w:tr>
      <w:tr w:rsidR="00EE74E0" w:rsidTr="00A73D4D">
        <w:trPr>
          <w:cantSplit/>
          <w:trHeight w:val="234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开工日期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2017.3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竣工日期</w:t>
            </w:r>
          </w:p>
        </w:tc>
        <w:tc>
          <w:tcPr>
            <w:tcW w:w="3946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2019.4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排污许可证申领时间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/</w:t>
            </w:r>
          </w:p>
        </w:tc>
      </w:tr>
      <w:tr w:rsidR="00EE74E0" w:rsidTr="00A73D4D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环保设施设计单位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/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sz w:val="18"/>
                <w:szCs w:val="18"/>
              </w:rPr>
              <w:t>环保设施施工单位</w:t>
            </w:r>
          </w:p>
        </w:tc>
        <w:tc>
          <w:tcPr>
            <w:tcW w:w="3946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/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本工程排污许可证编号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/</w:t>
            </w:r>
          </w:p>
        </w:tc>
      </w:tr>
      <w:tr w:rsidR="00EE74E0" w:rsidTr="00A73D4D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验收单位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肇庆市华丽置业有限公司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环保设施监测单位</w:t>
            </w:r>
          </w:p>
        </w:tc>
        <w:tc>
          <w:tcPr>
            <w:tcW w:w="3946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东莞市华溯检测技术有限公司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验收监测时工况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/</w:t>
            </w:r>
          </w:p>
        </w:tc>
      </w:tr>
      <w:tr w:rsidR="00EE74E0" w:rsidTr="00A73D4D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投资总概算（万元）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30000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tabs>
                <w:tab w:val="left" w:pos="690"/>
              </w:tabs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环保投资总概算（万元）</w:t>
            </w:r>
          </w:p>
        </w:tc>
        <w:tc>
          <w:tcPr>
            <w:tcW w:w="3946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800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tabs>
                <w:tab w:val="left" w:pos="690"/>
              </w:tabs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所占比例（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%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）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2.67</w:t>
            </w:r>
            <w:r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  <w:t>%</w:t>
            </w:r>
          </w:p>
        </w:tc>
      </w:tr>
      <w:tr w:rsidR="00EE74E0" w:rsidTr="00A73D4D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实际总投资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30000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ind w:right="30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实际环保投资（万元）</w:t>
            </w:r>
          </w:p>
        </w:tc>
        <w:tc>
          <w:tcPr>
            <w:tcW w:w="3946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800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所占比例（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%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）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2.67</w:t>
            </w:r>
            <w:r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  <w:t>%</w:t>
            </w:r>
          </w:p>
        </w:tc>
      </w:tr>
      <w:tr w:rsidR="00EE74E0" w:rsidTr="00A73D4D">
        <w:trPr>
          <w:cantSplit/>
          <w:trHeight w:val="311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废水治理（万元）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废气治理（万元）</w:t>
            </w: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噪声治理（万元）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固体废物治理（万元）</w:t>
            </w:r>
          </w:p>
        </w:tc>
        <w:tc>
          <w:tcPr>
            <w:tcW w:w="16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绿化及生态（万元）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其他（万元）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EE74E0" w:rsidTr="00A73D4D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新增废水处理设施能力</w:t>
            </w:r>
          </w:p>
        </w:tc>
        <w:tc>
          <w:tcPr>
            <w:tcW w:w="5369" w:type="dxa"/>
            <w:gridSpan w:val="7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新增废气处理设施能力</w:t>
            </w:r>
          </w:p>
        </w:tc>
        <w:tc>
          <w:tcPr>
            <w:tcW w:w="16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年平均工作时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EE74E0" w:rsidTr="00A73D4D">
        <w:trPr>
          <w:cantSplit/>
          <w:trHeight w:val="19"/>
          <w:jc w:val="center"/>
        </w:trPr>
        <w:tc>
          <w:tcPr>
            <w:tcW w:w="2394" w:type="dxa"/>
            <w:gridSpan w:val="4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运营单位</w:t>
            </w:r>
          </w:p>
        </w:tc>
        <w:tc>
          <w:tcPr>
            <w:tcW w:w="4285" w:type="dxa"/>
            <w:gridSpan w:val="5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肇庆市华丽置业有限公司</w:t>
            </w:r>
          </w:p>
        </w:tc>
        <w:tc>
          <w:tcPr>
            <w:tcW w:w="3352" w:type="dxa"/>
            <w:gridSpan w:val="4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 w:rsidRPr="00636B12"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运营单位社会统一信用代码（或组织机构代码）</w:t>
            </w:r>
          </w:p>
        </w:tc>
        <w:tc>
          <w:tcPr>
            <w:tcW w:w="16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b/>
                <w:color w:val="000000" w:themeColor="text1"/>
                <w:kern w:val="2"/>
                <w:sz w:val="18"/>
                <w:szCs w:val="18"/>
              </w:rPr>
              <w:t>91441200769326392C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验收时间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2019.06</w:t>
            </w:r>
          </w:p>
        </w:tc>
      </w:tr>
      <w:tr w:rsidR="00EE74E0" w:rsidTr="00A73D4D">
        <w:trPr>
          <w:cantSplit/>
          <w:trHeight w:val="358"/>
          <w:jc w:val="center"/>
        </w:trPr>
        <w:tc>
          <w:tcPr>
            <w:tcW w:w="59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8"/>
                <w:szCs w:val="18"/>
              </w:rPr>
              <w:t>污染</w:t>
            </w:r>
          </w:p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8"/>
                <w:szCs w:val="18"/>
              </w:rPr>
              <w:t>物排</w:t>
            </w:r>
          </w:p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8"/>
                <w:szCs w:val="18"/>
              </w:rPr>
              <w:t>放达</w:t>
            </w:r>
          </w:p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8"/>
                <w:szCs w:val="18"/>
              </w:rPr>
              <w:t>标与</w:t>
            </w:r>
          </w:p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8"/>
                <w:szCs w:val="18"/>
              </w:rPr>
              <w:t>总量</w:t>
            </w:r>
          </w:p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8"/>
                <w:szCs w:val="18"/>
              </w:rPr>
              <w:t>控制（工</w:t>
            </w:r>
          </w:p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8"/>
                <w:szCs w:val="18"/>
              </w:rPr>
              <w:t>业建</w:t>
            </w:r>
          </w:p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8"/>
                <w:szCs w:val="18"/>
              </w:rPr>
              <w:t>设项</w:t>
            </w:r>
          </w:p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8"/>
                <w:szCs w:val="18"/>
              </w:rPr>
              <w:t>目详填）</w:t>
            </w: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污染物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原有排</w:t>
            </w:r>
          </w:p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放量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(1)</w:t>
            </w: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本期工程实际排放浓度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(2)</w:t>
            </w: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本期工程允许排放浓度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(3)</w:t>
            </w: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本期工程产生量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(4)</w:t>
            </w: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本期工程自身削减量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(5)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本期工程实际排放量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(6)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本期工程核定排放总量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(7)</w:t>
            </w:r>
          </w:p>
        </w:tc>
        <w:tc>
          <w:tcPr>
            <w:tcW w:w="16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本期工程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“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以新带老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”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削减量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(8)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全厂实际排放总量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(9)</w:t>
            </w: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全厂核定排放总量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(10)</w:t>
            </w: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区域平衡替代削减量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(11)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排放增减量</w:t>
            </w: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(12)</w:t>
            </w:r>
          </w:p>
        </w:tc>
      </w:tr>
      <w:tr w:rsidR="00EE74E0" w:rsidTr="00A73D4D">
        <w:trPr>
          <w:cantSplit/>
          <w:trHeight w:val="90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废水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/</w:t>
            </w: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8.325164</w:t>
            </w: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0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8.325164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8.325164</w:t>
            </w:r>
          </w:p>
        </w:tc>
        <w:tc>
          <w:tcPr>
            <w:tcW w:w="16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8.325164</w:t>
            </w: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8.325164</w:t>
            </w: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EE74E0" w:rsidTr="00A73D4D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化学需氧量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213</w:t>
            </w: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20.81291</w:t>
            </w: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3.08031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17.7326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17.7326</w:t>
            </w:r>
          </w:p>
        </w:tc>
        <w:tc>
          <w:tcPr>
            <w:tcW w:w="16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17.7326</w:t>
            </w: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17.7326</w:t>
            </w: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  <w:highlight w:val="yellow"/>
              </w:rPr>
            </w:pPr>
          </w:p>
        </w:tc>
      </w:tr>
      <w:tr w:rsidR="00EE74E0" w:rsidTr="00A73D4D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氨氮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20</w:t>
            </w: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2.4975492</w:t>
            </w: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0.8325162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1.665033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1.665033</w:t>
            </w:r>
          </w:p>
        </w:tc>
        <w:tc>
          <w:tcPr>
            <w:tcW w:w="16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1.665033</w:t>
            </w: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8"/>
                <w:szCs w:val="18"/>
              </w:rPr>
              <w:t>1.665033</w:t>
            </w: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  <w:highlight w:val="yellow"/>
              </w:rPr>
            </w:pPr>
          </w:p>
        </w:tc>
      </w:tr>
      <w:tr w:rsidR="00EE74E0" w:rsidTr="00A73D4D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石油类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EE74E0" w:rsidTr="00A73D4D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废气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EE74E0" w:rsidTr="00A73D4D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二氧化硫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EE74E0" w:rsidTr="00A73D4D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烟尘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EE74E0" w:rsidTr="00A73D4D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工业粉尘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EE74E0" w:rsidTr="00A73D4D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氮氧化物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EE74E0" w:rsidTr="00A73D4D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工业固体废物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EE74E0" w:rsidTr="00A73D4D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  <w:t>与项目有关的其他特征污染物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EE74E0" w:rsidTr="00A73D4D">
        <w:trPr>
          <w:cantSplit/>
          <w:trHeight w:val="127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13" w:type="dxa"/>
            <w:vMerge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EE74E0" w:rsidTr="00A73D4D">
        <w:trPr>
          <w:cantSplit/>
          <w:trHeight w:val="236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13" w:type="dxa"/>
            <w:vMerge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78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EE74E0" w:rsidRDefault="00EE74E0" w:rsidP="00A73D4D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</w:tbl>
    <w:p w:rsidR="00EE74E0" w:rsidRDefault="00EE74E0" w:rsidP="00EE74E0">
      <w:pPr>
        <w:spacing w:after="0"/>
        <w:rPr>
          <w:rFonts w:ascii="Times New Roman" w:eastAsia="宋体" w:hAnsi="Times New Roman"/>
          <w:color w:val="000000" w:themeColor="text1"/>
          <w:sz w:val="15"/>
          <w:szCs w:val="15"/>
        </w:rPr>
      </w:pPr>
      <w:r>
        <w:rPr>
          <w:rFonts w:ascii="Times New Roman" w:eastAsia="宋体" w:hAnsi="Times New Roman"/>
          <w:b/>
          <w:color w:val="000000" w:themeColor="text1"/>
          <w:sz w:val="15"/>
          <w:szCs w:val="15"/>
        </w:rPr>
        <w:t>注</w:t>
      </w:r>
      <w:r>
        <w:rPr>
          <w:rFonts w:ascii="Times New Roman" w:eastAsia="宋体" w:hAnsi="Times New Roman"/>
          <w:color w:val="000000" w:themeColor="text1"/>
          <w:sz w:val="15"/>
          <w:szCs w:val="15"/>
        </w:rPr>
        <w:t>：</w:t>
      </w:r>
      <w:r>
        <w:rPr>
          <w:rFonts w:ascii="Times New Roman" w:eastAsia="宋体" w:hAnsi="Times New Roman"/>
          <w:color w:val="000000" w:themeColor="text1"/>
          <w:sz w:val="15"/>
          <w:szCs w:val="15"/>
        </w:rPr>
        <w:t>1</w:t>
      </w:r>
      <w:r>
        <w:rPr>
          <w:rFonts w:ascii="Times New Roman" w:eastAsia="宋体" w:hAnsi="Times New Roman"/>
          <w:color w:val="000000" w:themeColor="text1"/>
          <w:sz w:val="15"/>
          <w:szCs w:val="15"/>
        </w:rPr>
        <w:t>、</w:t>
      </w:r>
      <w:r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排放增减量：（</w:t>
      </w:r>
      <w:r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+</w:t>
      </w:r>
      <w:r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）表示增加，（</w:t>
      </w:r>
      <w:r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-</w:t>
      </w:r>
      <w:r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）表示减少。</w:t>
      </w:r>
      <w:r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2</w:t>
      </w:r>
      <w:r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、</w:t>
      </w:r>
      <w:r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(12)=(6)-(8)-(11)</w:t>
      </w:r>
      <w:r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，（</w:t>
      </w:r>
      <w:r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9</w:t>
      </w:r>
      <w:r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）</w:t>
      </w:r>
      <w:r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= (4)-(5)-(8)- (11) +</w:t>
      </w:r>
      <w:r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（</w:t>
      </w:r>
      <w:r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1</w:t>
      </w:r>
      <w:r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）。</w:t>
      </w:r>
      <w:r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3</w:t>
      </w:r>
      <w:r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、计量单位：废水排放量</w:t>
      </w:r>
      <w:r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——</w:t>
      </w:r>
      <w:r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万吨</w:t>
      </w:r>
      <w:r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/</w:t>
      </w:r>
      <w:r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年；废气排放量</w:t>
      </w:r>
      <w:r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——</w:t>
      </w:r>
      <w:r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万标立方米</w:t>
      </w:r>
      <w:r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/</w:t>
      </w:r>
      <w:r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年；工业固体废物排放</w:t>
      </w:r>
      <w:r>
        <w:rPr>
          <w:rFonts w:ascii="Times New Roman" w:eastAsia="宋体" w:hAnsi="Times New Roman"/>
          <w:color w:val="000000" w:themeColor="text1"/>
          <w:sz w:val="15"/>
          <w:szCs w:val="15"/>
        </w:rPr>
        <w:t>量</w:t>
      </w:r>
      <w:r>
        <w:rPr>
          <w:rFonts w:ascii="Times New Roman" w:eastAsia="宋体" w:hAnsi="Times New Roman"/>
          <w:color w:val="000000" w:themeColor="text1"/>
          <w:sz w:val="15"/>
          <w:szCs w:val="15"/>
        </w:rPr>
        <w:t>——</w:t>
      </w:r>
      <w:r>
        <w:rPr>
          <w:rFonts w:ascii="Times New Roman" w:eastAsia="宋体" w:hAnsi="Times New Roman"/>
          <w:color w:val="000000" w:themeColor="text1"/>
          <w:sz w:val="15"/>
          <w:szCs w:val="15"/>
        </w:rPr>
        <w:t>万吨</w:t>
      </w:r>
      <w:r>
        <w:rPr>
          <w:rFonts w:ascii="Times New Roman" w:eastAsia="宋体" w:hAnsi="Times New Roman"/>
          <w:color w:val="000000" w:themeColor="text1"/>
          <w:sz w:val="15"/>
          <w:szCs w:val="15"/>
        </w:rPr>
        <w:t>/</w:t>
      </w:r>
      <w:r>
        <w:rPr>
          <w:rFonts w:ascii="Times New Roman" w:eastAsia="宋体" w:hAnsi="Times New Roman"/>
          <w:color w:val="000000" w:themeColor="text1"/>
          <w:sz w:val="15"/>
          <w:szCs w:val="15"/>
        </w:rPr>
        <w:t>年；水污染物排放浓度</w:t>
      </w:r>
      <w:r>
        <w:rPr>
          <w:rFonts w:ascii="Times New Roman" w:eastAsia="宋体" w:hAnsi="Times New Roman"/>
          <w:color w:val="000000" w:themeColor="text1"/>
          <w:sz w:val="15"/>
          <w:szCs w:val="15"/>
        </w:rPr>
        <w:t>——</w:t>
      </w:r>
      <w:r>
        <w:rPr>
          <w:rFonts w:ascii="Times New Roman" w:eastAsia="宋体" w:hAnsi="Times New Roman"/>
          <w:color w:val="000000" w:themeColor="text1"/>
          <w:sz w:val="15"/>
          <w:szCs w:val="15"/>
        </w:rPr>
        <w:t>毫克</w:t>
      </w:r>
      <w:r>
        <w:rPr>
          <w:rFonts w:ascii="Times New Roman" w:eastAsia="宋体" w:hAnsi="Times New Roman"/>
          <w:color w:val="000000" w:themeColor="text1"/>
          <w:sz w:val="15"/>
          <w:szCs w:val="15"/>
        </w:rPr>
        <w:t>/</w:t>
      </w:r>
      <w:r>
        <w:rPr>
          <w:rFonts w:ascii="Times New Roman" w:eastAsia="宋体" w:hAnsi="Times New Roman"/>
          <w:color w:val="000000" w:themeColor="text1"/>
          <w:sz w:val="15"/>
          <w:szCs w:val="15"/>
        </w:rPr>
        <w:t>升</w:t>
      </w:r>
    </w:p>
    <w:p w:rsidR="00EE74E0" w:rsidRDefault="00EE74E0" w:rsidP="00EE74E0">
      <w:pPr>
        <w:spacing w:after="0" w:line="360" w:lineRule="auto"/>
        <w:ind w:firstLineChars="200" w:firstLine="480"/>
        <w:jc w:val="both"/>
        <w:rPr>
          <w:rFonts w:ascii="Times New Roman" w:eastAsia="宋体" w:hAnsi="Times New Roman"/>
          <w:color w:val="000000" w:themeColor="text1"/>
          <w:sz w:val="24"/>
        </w:rPr>
      </w:pPr>
    </w:p>
    <w:p w:rsidR="004358AB" w:rsidRPr="00EE74E0" w:rsidRDefault="004358AB" w:rsidP="00D31D50">
      <w:pPr>
        <w:spacing w:line="220" w:lineRule="atLeast"/>
      </w:pPr>
    </w:p>
    <w:sectPr w:rsidR="004358AB" w:rsidRPr="00EE74E0" w:rsidSect="00EE74E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BDD" w:rsidRDefault="00496BDD" w:rsidP="00EE74E0">
      <w:pPr>
        <w:spacing w:after="0"/>
      </w:pPr>
      <w:r>
        <w:separator/>
      </w:r>
    </w:p>
  </w:endnote>
  <w:endnote w:type="continuationSeparator" w:id="0">
    <w:p w:rsidR="00496BDD" w:rsidRDefault="00496BDD" w:rsidP="00EE74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BDD" w:rsidRDefault="00496BDD" w:rsidP="00EE74E0">
      <w:pPr>
        <w:spacing w:after="0"/>
      </w:pPr>
      <w:r>
        <w:separator/>
      </w:r>
    </w:p>
  </w:footnote>
  <w:footnote w:type="continuationSeparator" w:id="0">
    <w:p w:rsidR="00496BDD" w:rsidRDefault="00496BDD" w:rsidP="00EE74E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96BDD"/>
    <w:rsid w:val="008B7726"/>
    <w:rsid w:val="00C37F71"/>
    <w:rsid w:val="00D31D50"/>
    <w:rsid w:val="00EE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4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4E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4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4E0"/>
    <w:rPr>
      <w:rFonts w:ascii="Tahoma" w:hAnsi="Tahoma"/>
      <w:sz w:val="18"/>
      <w:szCs w:val="18"/>
    </w:rPr>
  </w:style>
  <w:style w:type="paragraph" w:customStyle="1" w:styleId="1">
    <w:name w:val="1级标题"/>
    <w:basedOn w:val="a"/>
    <w:rsid w:val="00EE74E0"/>
    <w:rPr>
      <w:rFonts w:eastAsia="宋体" w:cs="Times New Roman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2019-06-14T08:37:00Z</dcterms:modified>
</cp:coreProperties>
</file>